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2A" w:rsidRPr="00A85B08" w:rsidRDefault="0028672A" w:rsidP="008605ED">
      <w:pPr>
        <w:spacing w:after="0" w:line="240" w:lineRule="auto"/>
        <w:rPr>
          <w:b/>
        </w:rPr>
      </w:pPr>
      <w:r w:rsidRPr="00A85B08">
        <w:rPr>
          <w:b/>
        </w:rPr>
        <w:t>ΜΕΤΑΠΤΥΧΙΑΚΟ ΠΡΟΓΡΑΜΜΑ ΙΦΕΤ</w:t>
      </w:r>
    </w:p>
    <w:p w:rsidR="0028672A" w:rsidRPr="00A85B08" w:rsidRDefault="0028672A" w:rsidP="008605ED">
      <w:pPr>
        <w:spacing w:after="0" w:line="240" w:lineRule="auto"/>
        <w:rPr>
          <w:b/>
        </w:rPr>
      </w:pPr>
      <w:r w:rsidRPr="00A85B08">
        <w:rPr>
          <w:b/>
        </w:rPr>
        <w:t>Ακαδημαϊκό Έτος 201</w:t>
      </w:r>
      <w:r w:rsidR="00664D41" w:rsidRPr="00A85B08">
        <w:rPr>
          <w:b/>
        </w:rPr>
        <w:t>5</w:t>
      </w:r>
      <w:r w:rsidR="00225ED3" w:rsidRPr="00A85B08">
        <w:rPr>
          <w:b/>
        </w:rPr>
        <w:t>-201</w:t>
      </w:r>
      <w:r w:rsidR="00664D41" w:rsidRPr="00A85B08">
        <w:rPr>
          <w:b/>
        </w:rPr>
        <w:t>6</w:t>
      </w:r>
      <w:r w:rsidRPr="00A85B08">
        <w:rPr>
          <w:b/>
        </w:rPr>
        <w:t xml:space="preserve">, </w:t>
      </w:r>
      <w:r w:rsidR="00225ED3" w:rsidRPr="00A85B08">
        <w:rPr>
          <w:b/>
        </w:rPr>
        <w:t xml:space="preserve">Χειμερινό </w:t>
      </w:r>
      <w:r w:rsidRPr="00A85B08">
        <w:rPr>
          <w:b/>
        </w:rPr>
        <w:t>Εξάμηνο</w:t>
      </w:r>
    </w:p>
    <w:p w:rsidR="0028672A" w:rsidRDefault="0028672A" w:rsidP="008605ED">
      <w:pPr>
        <w:spacing w:after="0" w:line="240" w:lineRule="auto"/>
      </w:pPr>
      <w:r w:rsidRPr="00A85B08">
        <w:rPr>
          <w:b/>
        </w:rPr>
        <w:t>Σεμινάριο</w:t>
      </w:r>
      <w:r>
        <w:t xml:space="preserve">: </w:t>
      </w:r>
      <w:r w:rsidR="00664D41">
        <w:t>Το πρόβλημα της οριοθέτησης: η διάκριση επιστήμης-ψευδοεπιστήμης</w:t>
      </w:r>
    </w:p>
    <w:p w:rsidR="0028672A" w:rsidRPr="00E44E72" w:rsidRDefault="0028672A" w:rsidP="008605ED">
      <w:pPr>
        <w:spacing w:after="0" w:line="240" w:lineRule="auto"/>
      </w:pPr>
      <w:r w:rsidRPr="00A85B08">
        <w:rPr>
          <w:b/>
        </w:rPr>
        <w:t>Διδάσκων</w:t>
      </w:r>
      <w:r>
        <w:t>: Θόδωρος Αραμπατζής (e-mail: tarabatz@phs.uoa.gr, τηλ. 210-7275524)</w:t>
      </w:r>
    </w:p>
    <w:p w:rsidR="00623E95" w:rsidRPr="00A85B08" w:rsidRDefault="00E44E72" w:rsidP="00497006">
      <w:pPr>
        <w:spacing w:after="360" w:line="240" w:lineRule="auto"/>
        <w:rPr>
          <w:b/>
        </w:rPr>
      </w:pPr>
      <w:r>
        <w:rPr>
          <w:b/>
        </w:rPr>
        <w:t>Τετάρτη, 15:00-18:00, Αιθ</w:t>
      </w:r>
      <w:bookmarkStart w:id="0" w:name="_GoBack"/>
      <w:bookmarkEnd w:id="0"/>
      <w:r w:rsidR="00623E95" w:rsidRPr="00A85B08">
        <w:rPr>
          <w:b/>
        </w:rPr>
        <w:t xml:space="preserve">. </w:t>
      </w:r>
      <w:r>
        <w:rPr>
          <w:b/>
        </w:rPr>
        <w:t>Γκουνταρούλη</w:t>
      </w:r>
      <w:r w:rsidR="00623E95" w:rsidRPr="00A85B08">
        <w:rPr>
          <w:b/>
        </w:rPr>
        <w:t>, ΜΙΘΕ</w:t>
      </w:r>
    </w:p>
    <w:p w:rsidR="0028672A" w:rsidRPr="0028672A" w:rsidRDefault="0028672A" w:rsidP="00A50403">
      <w:pPr>
        <w:spacing w:after="120" w:line="240" w:lineRule="auto"/>
        <w:rPr>
          <w:b/>
        </w:rPr>
      </w:pPr>
      <w:r w:rsidRPr="0028672A">
        <w:rPr>
          <w:b/>
        </w:rPr>
        <w:t>Περιεχόμενο του σεμιναρίου</w:t>
      </w:r>
    </w:p>
    <w:p w:rsidR="00664D41" w:rsidRPr="00A714EC" w:rsidRDefault="00035D92" w:rsidP="00A50403">
      <w:pPr>
        <w:spacing w:after="120" w:line="240" w:lineRule="auto"/>
      </w:pPr>
      <w:r>
        <w:t>Το πρόβλημα της οριοθέτησης, δηλαδή η</w:t>
      </w:r>
      <w:r w:rsidR="00231678">
        <w:t xml:space="preserve"> δι</w:t>
      </w:r>
      <w:r>
        <w:t>άκριση επιστήμης-ψευδοεπιστήμης, έχει παίξει</w:t>
      </w:r>
      <w:r w:rsidR="00664D41">
        <w:t xml:space="preserve"> καταστατικό </w:t>
      </w:r>
      <w:r>
        <w:t xml:space="preserve">ρόλο </w:t>
      </w:r>
      <w:r w:rsidR="00664D41">
        <w:t xml:space="preserve">στη φιλοσοφία της επιστήμης. Έως τη δεκαετία του 1960 </w:t>
      </w:r>
      <w:r>
        <w:t xml:space="preserve">θεωρείτο «το κλειδί για τα περισσότερα από τα θεμελιώδη προβλήματα της </w:t>
      </w:r>
      <w:r w:rsidR="00664D41">
        <w:t>φιλοσοφίας της επιστήμης</w:t>
      </w:r>
      <w:r>
        <w:t>» (</w:t>
      </w:r>
      <w:r>
        <w:rPr>
          <w:lang w:val="en-US"/>
        </w:rPr>
        <w:t>Popper</w:t>
      </w:r>
      <w:r w:rsidRPr="00035D92">
        <w:t xml:space="preserve"> 1962, 42)</w:t>
      </w:r>
      <w:r w:rsidR="00664D41">
        <w:t>. Ωστόσο</w:t>
      </w:r>
      <w:r>
        <w:t>,</w:t>
      </w:r>
      <w:r w:rsidR="00664D41">
        <w:t xml:space="preserve"> όλες οι προσπάθειες που έγιναν για την </w:t>
      </w:r>
      <w:r>
        <w:t xml:space="preserve">επίλυση του προβλήματος </w:t>
      </w:r>
      <w:r w:rsidR="00664D41">
        <w:t xml:space="preserve">μέσω </w:t>
      </w:r>
      <w:r>
        <w:t xml:space="preserve">απλών και </w:t>
      </w:r>
      <w:r w:rsidR="00664D41">
        <w:t xml:space="preserve">σαφώς διατυπωμένων κριτηρίων (π.χ., επαληθευσιμότητα, διαψευσιμότητα) συνάντησαν </w:t>
      </w:r>
      <w:r>
        <w:t>δυσκολίες</w:t>
      </w:r>
      <w:r w:rsidR="00664D41">
        <w:t xml:space="preserve"> και σταδιακά το ερώτημα </w:t>
      </w:r>
      <w:r>
        <w:t>τέθηκε στο περιθώριο της φιλοσοφίας της επιστήμης</w:t>
      </w:r>
      <w:r w:rsidR="00A714EC">
        <w:t xml:space="preserve"> (</w:t>
      </w:r>
      <w:r w:rsidR="00A714EC">
        <w:rPr>
          <w:lang w:val="en-US"/>
        </w:rPr>
        <w:t>Laudan</w:t>
      </w:r>
      <w:r w:rsidR="00A714EC" w:rsidRPr="00A714EC">
        <w:t xml:space="preserve"> 1983)</w:t>
      </w:r>
      <w:r w:rsidR="00664D41">
        <w:t xml:space="preserve">. </w:t>
      </w:r>
      <w:r w:rsidR="00A85B08">
        <w:t xml:space="preserve">Πρόσφατες </w:t>
      </w:r>
      <w:r w:rsidR="00467D39">
        <w:t>ιστορικές και κοινωνιολογικές</w:t>
      </w:r>
      <w:r w:rsidR="00664D41">
        <w:t xml:space="preserve"> </w:t>
      </w:r>
      <w:r w:rsidR="00467D39">
        <w:t xml:space="preserve">μελέτες </w:t>
      </w:r>
      <w:r w:rsidR="00664D41">
        <w:t>με αντικείμενο διάφορες ψευδοεπιστήμες (</w:t>
      </w:r>
      <w:r w:rsidR="00467D39">
        <w:t xml:space="preserve">αστρολογία, </w:t>
      </w:r>
      <w:r w:rsidR="00664D41">
        <w:t xml:space="preserve">παραψυχολογία, </w:t>
      </w:r>
      <w:r w:rsidR="00A718AD">
        <w:t xml:space="preserve">κοσμολογία του </w:t>
      </w:r>
      <w:r w:rsidR="00A718AD">
        <w:rPr>
          <w:lang w:val="en-US"/>
        </w:rPr>
        <w:t>Velikovsky</w:t>
      </w:r>
      <w:r w:rsidR="00A718AD" w:rsidRPr="00A718AD">
        <w:t xml:space="preserve">, </w:t>
      </w:r>
      <w:r w:rsidR="009E4B2A">
        <w:t>δημιουργισμός</w:t>
      </w:r>
      <w:r w:rsidR="00BA512F">
        <w:t xml:space="preserve">, </w:t>
      </w:r>
      <w:r w:rsidR="00A718AD">
        <w:t>κλπ.)</w:t>
      </w:r>
      <w:r w:rsidR="00A714EC">
        <w:t xml:space="preserve"> έχουν </w:t>
      </w:r>
      <w:r w:rsidR="006E2BBA">
        <w:t xml:space="preserve">θέσει εκ νέου </w:t>
      </w:r>
      <w:r w:rsidR="00A714EC">
        <w:t>το πρόβλημα της οριοθέτησης</w:t>
      </w:r>
      <w:r w:rsidR="006E2BBA" w:rsidRPr="006E2BBA">
        <w:t>,</w:t>
      </w:r>
      <w:r w:rsidR="00A85B08">
        <w:t xml:space="preserve"> με αποτέλεσμα να επανέλθει στο επίκεντρο της φιλοσοφίας της επιστήμης (</w:t>
      </w:r>
      <w:r w:rsidR="00A85B08" w:rsidRPr="00A85B08">
        <w:t>Pigliucci</w:t>
      </w:r>
      <w:r w:rsidR="00A85B08">
        <w:t xml:space="preserve"> </w:t>
      </w:r>
      <w:r w:rsidR="006E2BBA" w:rsidRPr="006E2BBA">
        <w:t xml:space="preserve">&amp; </w:t>
      </w:r>
      <w:r w:rsidR="00A85B08" w:rsidRPr="00A85B08">
        <w:t>Boudry</w:t>
      </w:r>
      <w:r w:rsidR="00A85B08">
        <w:t xml:space="preserve"> </w:t>
      </w:r>
      <w:r w:rsidR="00A85B08" w:rsidRPr="00A85B08">
        <w:t>2013</w:t>
      </w:r>
      <w:r w:rsidR="00A85B08">
        <w:t>)</w:t>
      </w:r>
      <w:r w:rsidR="00A85B08" w:rsidRPr="00A85B08">
        <w:t>.</w:t>
      </w:r>
    </w:p>
    <w:p w:rsidR="00C81D65" w:rsidRPr="00467D39" w:rsidRDefault="00467D39" w:rsidP="00A714EC">
      <w:pPr>
        <w:spacing w:after="360" w:line="240" w:lineRule="auto"/>
      </w:pPr>
      <w:r>
        <w:t xml:space="preserve">Στο </w:t>
      </w:r>
      <w:r w:rsidR="00C81D65">
        <w:t>σεμινάριο</w:t>
      </w:r>
      <w:r>
        <w:t xml:space="preserve"> </w:t>
      </w:r>
      <w:r w:rsidR="00A714EC">
        <w:t xml:space="preserve">θα </w:t>
      </w:r>
      <w:r>
        <w:t xml:space="preserve">καλύψουμε </w:t>
      </w:r>
      <w:r w:rsidR="00A714EC">
        <w:t xml:space="preserve">τόσο </w:t>
      </w:r>
      <w:r>
        <w:t xml:space="preserve">τις </w:t>
      </w:r>
      <w:r w:rsidR="00A85B08">
        <w:t xml:space="preserve">παλαιότερες </w:t>
      </w:r>
      <w:r>
        <w:t xml:space="preserve">συζητήσεις σχετικά με </w:t>
      </w:r>
      <w:r w:rsidR="00A714EC">
        <w:t xml:space="preserve">τη διάκριση επιστήμης-ψευδοεπιστήμης </w:t>
      </w:r>
      <w:r>
        <w:t>(λογικός θετικισμός</w:t>
      </w:r>
      <w:r w:rsidR="00A85B08">
        <w:t xml:space="preserve">, </w:t>
      </w:r>
      <w:r>
        <w:rPr>
          <w:lang w:val="en-US"/>
        </w:rPr>
        <w:t>Popper</w:t>
      </w:r>
      <w:r w:rsidR="00A85B08">
        <w:t xml:space="preserve">, </w:t>
      </w:r>
      <w:r w:rsidR="00A85B08">
        <w:rPr>
          <w:lang w:val="en-US"/>
        </w:rPr>
        <w:t>Kuhn</w:t>
      </w:r>
      <w:r w:rsidR="00A85B08" w:rsidRPr="004669E0">
        <w:t xml:space="preserve">, </w:t>
      </w:r>
      <w:r w:rsidR="00A85B08">
        <w:rPr>
          <w:lang w:val="en-US"/>
        </w:rPr>
        <w:t>Lakatos</w:t>
      </w:r>
      <w:r w:rsidR="00A85B08" w:rsidRPr="004669E0">
        <w:t xml:space="preserve">, </w:t>
      </w:r>
      <w:r w:rsidR="00A85B08">
        <w:rPr>
          <w:lang w:val="en-US"/>
        </w:rPr>
        <w:t>Feyerabend</w:t>
      </w:r>
      <w:r w:rsidRPr="00467D39">
        <w:t>),</w:t>
      </w:r>
      <w:r w:rsidR="00C81D65">
        <w:t xml:space="preserve"> </w:t>
      </w:r>
      <w:r w:rsidR="00A714EC">
        <w:t xml:space="preserve">όσο και τις </w:t>
      </w:r>
      <w:r w:rsidR="001C7BB0">
        <w:t xml:space="preserve">νεότερες προσεγγίσεις </w:t>
      </w:r>
      <w:r>
        <w:t>του προβλήματος</w:t>
      </w:r>
      <w:r w:rsidR="006E2BBA">
        <w:t xml:space="preserve"> της οριοθέτησης.</w:t>
      </w:r>
    </w:p>
    <w:p w:rsidR="0028672A" w:rsidRDefault="0028672A" w:rsidP="00A50403">
      <w:pPr>
        <w:spacing w:after="120" w:line="240" w:lineRule="auto"/>
      </w:pPr>
      <w:r w:rsidRPr="0028672A">
        <w:rPr>
          <w:b/>
        </w:rPr>
        <w:t>Υποχρεώσεις</w:t>
      </w:r>
    </w:p>
    <w:p w:rsidR="005C6B00" w:rsidRDefault="0028672A" w:rsidP="00A714EC">
      <w:pPr>
        <w:spacing w:after="360" w:line="240" w:lineRule="auto"/>
      </w:pPr>
      <w:r>
        <w:t xml:space="preserve">Κάθε εβδομάδα οι φοιτητές / φοιτήτριες θα παραδίδουν 1-2 σελίδες με τα σχόλια και τις παρατηρήσεις τους (και όχι περιλήψεις) σχετικά με τα κείμενα που πρόκειται να συζητηθούν. Τα σχόλια πρέπει να στέλνoνται με e-mail, μέχρι το βράδυ </w:t>
      </w:r>
      <w:r w:rsidR="006E2BBA">
        <w:t xml:space="preserve">της Δευτέρας </w:t>
      </w:r>
      <w:r>
        <w:t>που προηγείται του μαθήματος, στον διδάσκοντα. Στο τέλος του σεμιναρίου οι συμμετέχοντες/ουσες θα γράψουν μία σύντομη εργασία (10-15 σελ.), π.χ., μια κριτική παρουσίαση ενός από τα θέματα που θα έχουν συζητηθεί.</w:t>
      </w:r>
    </w:p>
    <w:p w:rsidR="00284F4D" w:rsidRPr="00BC6445" w:rsidRDefault="008B1F68" w:rsidP="006A0BE9">
      <w:pPr>
        <w:spacing w:after="120" w:line="240" w:lineRule="auto"/>
        <w:rPr>
          <w:rFonts w:cs="Times New Roman"/>
          <w:szCs w:val="24"/>
        </w:rPr>
      </w:pPr>
      <w:r w:rsidRPr="00BC6445">
        <w:rPr>
          <w:rFonts w:cs="Times New Roman"/>
          <w:b/>
          <w:szCs w:val="24"/>
        </w:rPr>
        <w:t>Ενδεικτική β</w:t>
      </w:r>
      <w:r w:rsidR="0028672A" w:rsidRPr="00BC6445">
        <w:rPr>
          <w:rFonts w:cs="Times New Roman"/>
          <w:b/>
          <w:szCs w:val="24"/>
        </w:rPr>
        <w:t>ιβλιογραφία</w:t>
      </w:r>
      <w:r w:rsidR="0028672A" w:rsidRPr="00BC6445">
        <w:rPr>
          <w:rFonts w:cs="Times New Roman"/>
          <w:szCs w:val="24"/>
        </w:rPr>
        <w:t xml:space="preserve"> (διαθέσιμη σε ηλεκτρονική μορφή)</w:t>
      </w:r>
    </w:p>
    <w:p w:rsidR="00BC6445" w:rsidRPr="006A0BE9" w:rsidRDefault="003439B0" w:rsidP="006A0BE9">
      <w:pPr>
        <w:autoSpaceDE w:val="0"/>
        <w:autoSpaceDN w:val="0"/>
        <w:adjustRightInd w:val="0"/>
        <w:spacing w:after="120" w:line="240" w:lineRule="auto"/>
        <w:rPr>
          <w:rFonts w:eastAsia="GoudyStd" w:cs="Times New Roman"/>
          <w:szCs w:val="24"/>
          <w:lang w:val="en-US"/>
        </w:rPr>
      </w:pPr>
      <w:r>
        <w:rPr>
          <w:rFonts w:eastAsia="GoudyStd" w:cs="Times New Roman"/>
          <w:szCs w:val="24"/>
          <w:lang w:val="en-US"/>
        </w:rPr>
        <w:t>Allchin, D., 1996.</w:t>
      </w:r>
      <w:r w:rsidR="00BC6445" w:rsidRPr="00BC6445">
        <w:rPr>
          <w:rFonts w:eastAsia="GoudyStd" w:cs="Times New Roman"/>
          <w:szCs w:val="24"/>
          <w:lang w:val="en-US"/>
        </w:rPr>
        <w:t xml:space="preserve"> “Points East and West: Acupuncture and Comparative Philosophy of Science,”</w:t>
      </w:r>
      <w:r w:rsidR="006A0BE9" w:rsidRPr="006A0BE9">
        <w:rPr>
          <w:rFonts w:eastAsia="GoudyStd" w:cs="Times New Roman"/>
          <w:szCs w:val="24"/>
          <w:lang w:val="en-US"/>
        </w:rPr>
        <w:t xml:space="preserve"> </w:t>
      </w:r>
      <w:r w:rsidR="00BC6445" w:rsidRPr="00BC6445">
        <w:rPr>
          <w:rFonts w:eastAsia="GoudyStd" w:cs="Times New Roman"/>
          <w:i/>
          <w:iCs/>
          <w:szCs w:val="24"/>
          <w:lang w:val="en-US"/>
        </w:rPr>
        <w:t xml:space="preserve">Philosophy of Science </w:t>
      </w:r>
      <w:r w:rsidR="00BC6445" w:rsidRPr="00BC6445">
        <w:rPr>
          <w:rFonts w:eastAsia="GoudyStd" w:cs="Times New Roman"/>
          <w:szCs w:val="24"/>
          <w:lang w:val="en-US"/>
        </w:rPr>
        <w:t>63: S107–S115.</w:t>
      </w:r>
    </w:p>
    <w:p w:rsidR="00A8515B" w:rsidRPr="00BC6445" w:rsidRDefault="00A8515B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BC6445">
        <w:rPr>
          <w:rFonts w:cs="Times New Roman"/>
          <w:szCs w:val="24"/>
          <w:lang w:val="en-US"/>
        </w:rPr>
        <w:t>Bunge, M</w:t>
      </w:r>
      <w:r w:rsidR="003439B0">
        <w:rPr>
          <w:rFonts w:cs="Times New Roman"/>
          <w:szCs w:val="24"/>
          <w:lang w:val="en-US"/>
        </w:rPr>
        <w:t>.</w:t>
      </w:r>
      <w:r w:rsidRPr="00BC6445">
        <w:rPr>
          <w:rFonts w:cs="Times New Roman"/>
          <w:szCs w:val="24"/>
          <w:lang w:val="en-US"/>
        </w:rPr>
        <w:t xml:space="preserve">, 2001. “Diagnosing pseudoscience”, pp. 161–189 in Mario Bunge, </w:t>
      </w:r>
      <w:r w:rsidRPr="00BC6445">
        <w:rPr>
          <w:rFonts w:cs="Times New Roman"/>
          <w:i/>
          <w:iCs/>
          <w:szCs w:val="24"/>
          <w:lang w:val="en-US" w:bidi="he-IL"/>
        </w:rPr>
        <w:t>Philosophy in Crisis. The Need for Reconstruction</w:t>
      </w:r>
      <w:r w:rsidRPr="00BC6445">
        <w:rPr>
          <w:rFonts w:cs="Times New Roman"/>
          <w:szCs w:val="24"/>
          <w:lang w:val="en-US"/>
        </w:rPr>
        <w:t>, Amherst, N.Y.</w:t>
      </w:r>
      <w:r w:rsidRPr="00BC6445">
        <w:rPr>
          <w:rFonts w:cs="Times New Roman"/>
          <w:szCs w:val="24"/>
        </w:rPr>
        <w:t>;</w:t>
      </w:r>
      <w:r w:rsidRPr="00BC6445">
        <w:rPr>
          <w:rFonts w:cs="Times New Roman"/>
          <w:szCs w:val="24"/>
          <w:lang w:val="en-US"/>
        </w:rPr>
        <w:t xml:space="preserve"> Prometheus Books.</w:t>
      </w:r>
    </w:p>
    <w:p w:rsidR="003767C9" w:rsidRPr="003767C9" w:rsidRDefault="003767C9" w:rsidP="003767C9">
      <w:pPr>
        <w:autoSpaceDE w:val="0"/>
        <w:autoSpaceDN w:val="0"/>
        <w:adjustRightInd w:val="0"/>
        <w:spacing w:after="120" w:line="24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Collins, H. and T. Pinch, 1982, </w:t>
      </w:r>
      <w:r w:rsidRPr="003767C9">
        <w:rPr>
          <w:i/>
          <w:szCs w:val="24"/>
          <w:lang w:val="en-US"/>
        </w:rPr>
        <w:t>Frames of Meaning: The Social Construction of Extraordinary Science</w:t>
      </w:r>
      <w:r w:rsidR="003439B0">
        <w:rPr>
          <w:szCs w:val="24"/>
          <w:lang w:val="en-US"/>
        </w:rPr>
        <w:t>, Routledge</w:t>
      </w:r>
      <w:r>
        <w:rPr>
          <w:szCs w:val="24"/>
          <w:lang w:val="en-US"/>
        </w:rPr>
        <w:t>.</w:t>
      </w:r>
    </w:p>
    <w:p w:rsidR="001D49FA" w:rsidRPr="00D424A2" w:rsidRDefault="001D49FA" w:rsidP="003767C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>Derksen, A.</w:t>
      </w:r>
      <w:r w:rsidR="003439B0">
        <w:rPr>
          <w:rFonts w:cs="Times New Roman"/>
          <w:szCs w:val="24"/>
          <w:lang w:val="en-US"/>
        </w:rPr>
        <w:t xml:space="preserve"> </w:t>
      </w:r>
      <w:r w:rsidRPr="00F12064">
        <w:rPr>
          <w:rFonts w:cs="Times New Roman"/>
          <w:szCs w:val="24"/>
          <w:lang w:val="en-US"/>
        </w:rPr>
        <w:t xml:space="preserve">A., </w:t>
      </w:r>
      <w:r w:rsidRPr="00D424A2">
        <w:rPr>
          <w:rFonts w:cs="Times New Roman"/>
          <w:szCs w:val="24"/>
          <w:lang w:val="en-US"/>
        </w:rPr>
        <w:t>1993. “The seven sins of pseudoscience”,</w:t>
      </w:r>
      <w:r w:rsidR="003439B0">
        <w:rPr>
          <w:rFonts w:cs="Times New Roman"/>
          <w:szCs w:val="24"/>
          <w:lang w:val="en-US"/>
        </w:rPr>
        <w:t xml:space="preserve"> </w:t>
      </w:r>
      <w:r w:rsidRPr="00D424A2">
        <w:rPr>
          <w:rFonts w:cs="Times New Roman"/>
          <w:i/>
          <w:iCs/>
          <w:szCs w:val="24"/>
          <w:lang w:val="en-US" w:bidi="he-IL"/>
        </w:rPr>
        <w:t>Journal for General Philosophy of Science</w:t>
      </w:r>
      <w:r w:rsidRPr="00D424A2">
        <w:rPr>
          <w:rFonts w:cs="Times New Roman"/>
          <w:szCs w:val="24"/>
          <w:lang w:val="en-US"/>
        </w:rPr>
        <w:t>, 24: 17–42.</w:t>
      </w:r>
    </w:p>
    <w:p w:rsidR="00D424A2" w:rsidRPr="00D424A2" w:rsidRDefault="003439B0" w:rsidP="006A0BE9">
      <w:pPr>
        <w:autoSpaceDE w:val="0"/>
        <w:autoSpaceDN w:val="0"/>
        <w:adjustRightInd w:val="0"/>
        <w:spacing w:after="120" w:line="240" w:lineRule="auto"/>
        <w:rPr>
          <w:rFonts w:eastAsia="GoudyStd" w:cs="Times New Roman"/>
          <w:szCs w:val="24"/>
          <w:lang w:val="en-US"/>
        </w:rPr>
      </w:pPr>
      <w:r>
        <w:rPr>
          <w:rFonts w:eastAsia="GoudyStd" w:cs="Times New Roman"/>
          <w:szCs w:val="24"/>
          <w:lang w:val="en-US"/>
        </w:rPr>
        <w:t xml:space="preserve">Feyerabend, P., </w:t>
      </w:r>
      <w:r w:rsidR="00D424A2" w:rsidRPr="00D424A2">
        <w:rPr>
          <w:rFonts w:eastAsia="GoudyStd" w:cs="Times New Roman"/>
          <w:szCs w:val="24"/>
          <w:lang w:val="en-US"/>
        </w:rPr>
        <w:t>1975</w:t>
      </w:r>
      <w:r>
        <w:rPr>
          <w:rFonts w:eastAsia="GoudyStd" w:cs="Times New Roman"/>
          <w:szCs w:val="24"/>
          <w:lang w:val="en-US"/>
        </w:rPr>
        <w:t>.</w:t>
      </w:r>
      <w:r w:rsidR="00D424A2" w:rsidRPr="00D424A2">
        <w:rPr>
          <w:rFonts w:eastAsia="GoudyStd" w:cs="Times New Roman"/>
          <w:szCs w:val="24"/>
          <w:lang w:val="en-US"/>
        </w:rPr>
        <w:t xml:space="preserve"> </w:t>
      </w:r>
      <w:r w:rsidR="00D424A2" w:rsidRPr="00D424A2">
        <w:rPr>
          <w:rFonts w:eastAsia="GoudyStd" w:cs="Times New Roman"/>
          <w:i/>
          <w:iCs/>
          <w:szCs w:val="24"/>
          <w:lang w:val="en-US"/>
        </w:rPr>
        <w:t>Against Method</w:t>
      </w:r>
      <w:r w:rsidR="00D424A2" w:rsidRPr="00D424A2">
        <w:rPr>
          <w:rFonts w:eastAsia="GoudyStd" w:cs="Times New Roman"/>
          <w:szCs w:val="24"/>
          <w:lang w:val="en-US"/>
        </w:rPr>
        <w:t>, London: Verso.</w:t>
      </w:r>
    </w:p>
    <w:p w:rsidR="00D424A2" w:rsidRPr="002A5F02" w:rsidRDefault="00D424A2" w:rsidP="006A0BE9">
      <w:pPr>
        <w:spacing w:after="120" w:line="240" w:lineRule="auto"/>
        <w:rPr>
          <w:rFonts w:eastAsia="GoudyStd" w:cs="Times New Roman"/>
          <w:szCs w:val="24"/>
          <w:lang w:val="en-US"/>
        </w:rPr>
      </w:pPr>
      <w:r w:rsidRPr="002A5F02">
        <w:rPr>
          <w:rFonts w:eastAsia="GoudyStd" w:cs="Times New Roman"/>
          <w:szCs w:val="24"/>
          <w:lang w:val="en-US"/>
        </w:rPr>
        <w:t>—— 1978</w:t>
      </w:r>
      <w:r w:rsidR="003439B0">
        <w:rPr>
          <w:rFonts w:eastAsia="GoudyStd" w:cs="Times New Roman"/>
          <w:szCs w:val="24"/>
          <w:lang w:val="en-US"/>
        </w:rPr>
        <w:t>.</w:t>
      </w:r>
      <w:r w:rsidRPr="002A5F02">
        <w:rPr>
          <w:rFonts w:eastAsia="GoudyStd" w:cs="Times New Roman"/>
          <w:szCs w:val="24"/>
          <w:lang w:val="en-US"/>
        </w:rPr>
        <w:t xml:space="preserve"> “The Strange Case of Astrology,” in </w:t>
      </w:r>
      <w:r w:rsidRPr="002A5F02">
        <w:rPr>
          <w:rFonts w:eastAsia="GoudyStd" w:cs="Times New Roman"/>
          <w:i/>
          <w:iCs/>
          <w:szCs w:val="24"/>
          <w:lang w:val="en-US"/>
        </w:rPr>
        <w:t>Science in a Free Society</w:t>
      </w:r>
      <w:r w:rsidRPr="002A5F02">
        <w:rPr>
          <w:rFonts w:eastAsia="GoudyStd" w:cs="Times New Roman"/>
          <w:szCs w:val="24"/>
          <w:lang w:val="en-US"/>
        </w:rPr>
        <w:t>, London: NLB.</w:t>
      </w:r>
    </w:p>
    <w:p w:rsidR="002A5F02" w:rsidRPr="002A5F02" w:rsidRDefault="002A5F02" w:rsidP="006A0BE9">
      <w:pPr>
        <w:autoSpaceDE w:val="0"/>
        <w:autoSpaceDN w:val="0"/>
        <w:adjustRightInd w:val="0"/>
        <w:spacing w:after="120" w:line="240" w:lineRule="auto"/>
        <w:rPr>
          <w:rFonts w:eastAsia="GoudyStd" w:cs="Times New Roman"/>
          <w:szCs w:val="24"/>
          <w:lang w:val="en-US"/>
        </w:rPr>
      </w:pPr>
      <w:r w:rsidRPr="002A5F02">
        <w:rPr>
          <w:rFonts w:eastAsia="GoudyStd" w:cs="Times New Roman"/>
          <w:szCs w:val="24"/>
          <w:lang w:val="en-US"/>
        </w:rPr>
        <w:t>Gordin, M</w:t>
      </w:r>
      <w:r w:rsidR="003439B0">
        <w:rPr>
          <w:rFonts w:eastAsia="GoudyStd" w:cs="Times New Roman"/>
          <w:szCs w:val="24"/>
          <w:lang w:val="en-US"/>
        </w:rPr>
        <w:t xml:space="preserve">. </w:t>
      </w:r>
      <w:r w:rsidRPr="002A5F02">
        <w:rPr>
          <w:rFonts w:eastAsia="GoudyStd" w:cs="Times New Roman"/>
          <w:szCs w:val="24"/>
          <w:lang w:val="en-US"/>
        </w:rPr>
        <w:t>2012</w:t>
      </w:r>
      <w:r w:rsidR="003439B0">
        <w:rPr>
          <w:rFonts w:eastAsia="GoudyStd" w:cs="Times New Roman"/>
          <w:szCs w:val="24"/>
          <w:lang w:val="en-US"/>
        </w:rPr>
        <w:t>.</w:t>
      </w:r>
      <w:r w:rsidRPr="002A5F02">
        <w:rPr>
          <w:rFonts w:eastAsia="GoudyStd" w:cs="Times New Roman"/>
          <w:szCs w:val="24"/>
          <w:lang w:val="en-US"/>
        </w:rPr>
        <w:t xml:space="preserve"> </w:t>
      </w:r>
      <w:r w:rsidRPr="002A5F02">
        <w:rPr>
          <w:rFonts w:eastAsia="GoudyStd" w:cs="Times New Roman"/>
          <w:i/>
          <w:iCs/>
          <w:szCs w:val="24"/>
          <w:lang w:val="en-US"/>
        </w:rPr>
        <w:t>The Pseudoscience Wars</w:t>
      </w:r>
      <w:r w:rsidRPr="002A5F02">
        <w:rPr>
          <w:rFonts w:eastAsia="GoudyStd" w:cs="Times New Roman"/>
          <w:szCs w:val="24"/>
          <w:lang w:val="en-US"/>
        </w:rPr>
        <w:t>, Chicago: University of Chicago Press.</w:t>
      </w:r>
    </w:p>
    <w:p w:rsidR="00911215" w:rsidRPr="00F12064" w:rsidRDefault="00911215" w:rsidP="006A0BE9">
      <w:pPr>
        <w:autoSpaceDE w:val="0"/>
        <w:autoSpaceDN w:val="0"/>
        <w:adjustRightInd w:val="0"/>
        <w:spacing w:after="120" w:line="240" w:lineRule="auto"/>
        <w:rPr>
          <w:rFonts w:eastAsia="GoudyStd" w:cs="Times New Roman"/>
          <w:szCs w:val="24"/>
          <w:lang w:val="en-US"/>
        </w:rPr>
      </w:pPr>
      <w:r w:rsidRPr="002A5F02">
        <w:rPr>
          <w:rFonts w:eastAsia="GoudyStd" w:cs="Times New Roman"/>
          <w:szCs w:val="24"/>
          <w:lang w:val="en-US"/>
        </w:rPr>
        <w:lastRenderedPageBreak/>
        <w:t>Hansson, S</w:t>
      </w:r>
      <w:r w:rsidR="003439B0">
        <w:rPr>
          <w:rFonts w:eastAsia="GoudyStd" w:cs="Times New Roman"/>
          <w:szCs w:val="24"/>
          <w:lang w:val="en-US"/>
        </w:rPr>
        <w:t xml:space="preserve">. </w:t>
      </w:r>
      <w:r w:rsidRPr="002A5F02">
        <w:rPr>
          <w:rFonts w:eastAsia="GoudyStd" w:cs="Times New Roman"/>
          <w:szCs w:val="24"/>
          <w:lang w:val="en-US"/>
        </w:rPr>
        <w:t>O</w:t>
      </w:r>
      <w:r w:rsidR="003439B0">
        <w:rPr>
          <w:rFonts w:eastAsia="GoudyStd" w:cs="Times New Roman"/>
          <w:szCs w:val="24"/>
          <w:lang w:val="en-US"/>
        </w:rPr>
        <w:t xml:space="preserve">. </w:t>
      </w:r>
      <w:r w:rsidRPr="002A5F02">
        <w:rPr>
          <w:rFonts w:eastAsia="GoudyStd" w:cs="Times New Roman"/>
          <w:szCs w:val="24"/>
          <w:lang w:val="en-US"/>
        </w:rPr>
        <w:t xml:space="preserve">(2008) “Science and Pseudo-Science,” </w:t>
      </w:r>
      <w:r w:rsidRPr="002A5F02">
        <w:rPr>
          <w:rFonts w:eastAsia="GoudyStd" w:cs="Times New Roman"/>
          <w:i/>
          <w:iCs/>
          <w:szCs w:val="24"/>
          <w:lang w:val="en-US"/>
        </w:rPr>
        <w:t>The Stanford Encyclopedia of Philosophy (Fall 2008 Edition)</w:t>
      </w:r>
      <w:r w:rsidRPr="002A5F02">
        <w:rPr>
          <w:rFonts w:eastAsia="GoudyStd" w:cs="Times New Roman"/>
          <w:szCs w:val="24"/>
          <w:lang w:val="en-US"/>
        </w:rPr>
        <w:t xml:space="preserve">, Edward N. Zalta (ed.), </w:t>
      </w:r>
      <w:hyperlink r:id="rId7" w:history="1">
        <w:r w:rsidR="001E08FC" w:rsidRPr="00D424A2">
          <w:rPr>
            <w:rStyle w:val="-"/>
            <w:rFonts w:eastAsia="GoudyStd" w:cs="Times New Roman"/>
            <w:szCs w:val="24"/>
            <w:lang w:val="en-US"/>
          </w:rPr>
          <w:t>http://plato.stanford.edu/archives/fall2008/entries/pseudo-science/</w:t>
        </w:r>
      </w:hyperlink>
      <w:r w:rsidRPr="00F12064">
        <w:rPr>
          <w:rFonts w:eastAsia="GoudyStd" w:cs="Times New Roman"/>
          <w:szCs w:val="24"/>
          <w:lang w:val="en-US"/>
        </w:rPr>
        <w:t>.</w:t>
      </w:r>
    </w:p>
    <w:p w:rsidR="00232170" w:rsidRPr="00F12064" w:rsidRDefault="00232170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>Kuhn, T</w:t>
      </w:r>
      <w:r w:rsidR="003439B0">
        <w:rPr>
          <w:rFonts w:cs="Times New Roman"/>
          <w:szCs w:val="24"/>
          <w:lang w:val="en-US"/>
        </w:rPr>
        <w:t xml:space="preserve">. </w:t>
      </w:r>
      <w:r w:rsidRPr="00F12064">
        <w:rPr>
          <w:rFonts w:cs="Times New Roman"/>
          <w:szCs w:val="24"/>
          <w:lang w:val="en-US"/>
        </w:rPr>
        <w:t xml:space="preserve">S., 1974. “Logic of Discovery or Psychology of Research?”, pp. 798–819 in P.A. Schilpp (ed.), </w:t>
      </w:r>
      <w:r w:rsidRPr="00F12064">
        <w:rPr>
          <w:rFonts w:cs="Times New Roman"/>
          <w:i/>
          <w:iCs/>
          <w:szCs w:val="24"/>
          <w:lang w:val="en-US" w:bidi="he-IL"/>
        </w:rPr>
        <w:t>The Philosophy of Karl Popper</w:t>
      </w:r>
      <w:r w:rsidRPr="00F12064">
        <w:rPr>
          <w:rFonts w:cs="Times New Roman"/>
          <w:szCs w:val="24"/>
          <w:lang w:val="en-US"/>
        </w:rPr>
        <w:t>, The Library of Living Philosophers, vol xiv, book ii. La Salle: Open Court.</w:t>
      </w:r>
    </w:p>
    <w:p w:rsidR="00F12064" w:rsidRPr="00F12064" w:rsidRDefault="00F12064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 xml:space="preserve">Lakatos, I. 1974a. “Popper on Demarcation and Induction”, pp. 241–273 in P.A. Schilpp, </w:t>
      </w:r>
      <w:r w:rsidRPr="00F12064">
        <w:rPr>
          <w:rFonts w:cs="Times New Roman"/>
          <w:i/>
          <w:iCs/>
          <w:szCs w:val="24"/>
          <w:lang w:val="en-US" w:bidi="he-IL"/>
        </w:rPr>
        <w:t>The Philosophy of Karl Popper</w:t>
      </w:r>
      <w:r w:rsidRPr="00F12064">
        <w:rPr>
          <w:rFonts w:cs="Times New Roman"/>
          <w:szCs w:val="24"/>
          <w:lang w:val="en-US"/>
        </w:rPr>
        <w:t>, The Library of Living Philosophers, vol xiv, book i. La Salle: Open Court.</w:t>
      </w:r>
    </w:p>
    <w:p w:rsidR="00F12064" w:rsidRPr="00F12064" w:rsidRDefault="00F12064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 xml:space="preserve">–––, 1974b. “Science and pseudoscience”, </w:t>
      </w:r>
      <w:r w:rsidRPr="00F12064">
        <w:rPr>
          <w:rFonts w:cs="Times New Roman"/>
          <w:i/>
          <w:iCs/>
          <w:szCs w:val="24"/>
          <w:lang w:val="en-US" w:bidi="he-IL"/>
        </w:rPr>
        <w:t>Conceptus</w:t>
      </w:r>
      <w:r w:rsidRPr="00F12064">
        <w:rPr>
          <w:rFonts w:cs="Times New Roman"/>
          <w:szCs w:val="24"/>
          <w:lang w:val="en-US"/>
        </w:rPr>
        <w:t>, 8: 5–9.</w:t>
      </w:r>
    </w:p>
    <w:p w:rsidR="00F12064" w:rsidRPr="00F12064" w:rsidRDefault="00F12064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 xml:space="preserve">–––, 1981. “Science and pseudoscience”, pp. 114–121 in S Brown </w:t>
      </w:r>
      <w:r w:rsidRPr="00F12064">
        <w:rPr>
          <w:rFonts w:cs="Times New Roman"/>
          <w:i/>
          <w:iCs/>
          <w:szCs w:val="24"/>
          <w:lang w:val="en-US" w:bidi="he-IL"/>
        </w:rPr>
        <w:t>et al</w:t>
      </w:r>
      <w:r w:rsidRPr="00F12064">
        <w:rPr>
          <w:rFonts w:cs="Times New Roman"/>
          <w:szCs w:val="24"/>
          <w:lang w:val="en-US"/>
        </w:rPr>
        <w:t xml:space="preserve">. (eds.) </w:t>
      </w:r>
      <w:r w:rsidRPr="00F12064">
        <w:rPr>
          <w:rFonts w:cs="Times New Roman"/>
          <w:i/>
          <w:iCs/>
          <w:szCs w:val="24"/>
          <w:lang w:val="en-US" w:bidi="he-IL"/>
        </w:rPr>
        <w:t xml:space="preserve">Conceptions of Inquiry: A Reader </w:t>
      </w:r>
      <w:r w:rsidRPr="00F12064">
        <w:rPr>
          <w:rFonts w:cs="Times New Roman"/>
          <w:szCs w:val="24"/>
          <w:lang w:val="en-US"/>
        </w:rPr>
        <w:t>London: Methuen.</w:t>
      </w:r>
    </w:p>
    <w:p w:rsidR="00A87A34" w:rsidRPr="00F12064" w:rsidRDefault="00A87A34" w:rsidP="006A0BE9">
      <w:pPr>
        <w:autoSpaceDE w:val="0"/>
        <w:autoSpaceDN w:val="0"/>
        <w:adjustRightInd w:val="0"/>
        <w:spacing w:after="120" w:line="240" w:lineRule="auto"/>
        <w:rPr>
          <w:rFonts w:eastAsia="GoudyStd" w:cs="Times New Roman"/>
          <w:szCs w:val="24"/>
          <w:lang w:val="en-US"/>
        </w:rPr>
      </w:pPr>
      <w:r w:rsidRPr="00F12064">
        <w:rPr>
          <w:rFonts w:eastAsia="GoudyStd" w:cs="Times New Roman"/>
          <w:szCs w:val="24"/>
          <w:lang w:val="en-US"/>
        </w:rPr>
        <w:t>Laudan, L</w:t>
      </w:r>
      <w:r w:rsidR="003439B0">
        <w:rPr>
          <w:rFonts w:eastAsia="GoudyStd" w:cs="Times New Roman"/>
          <w:szCs w:val="24"/>
          <w:lang w:val="en-US"/>
        </w:rPr>
        <w:t xml:space="preserve">., </w:t>
      </w:r>
      <w:r w:rsidRPr="00F12064">
        <w:rPr>
          <w:rFonts w:eastAsia="GoudyStd" w:cs="Times New Roman"/>
          <w:szCs w:val="24"/>
          <w:lang w:val="en-US"/>
        </w:rPr>
        <w:t>1983</w:t>
      </w:r>
      <w:r w:rsidR="003439B0">
        <w:rPr>
          <w:rFonts w:eastAsia="GoudyStd" w:cs="Times New Roman"/>
          <w:szCs w:val="24"/>
          <w:lang w:val="en-US"/>
        </w:rPr>
        <w:t>.</w:t>
      </w:r>
      <w:r w:rsidRPr="00F12064">
        <w:rPr>
          <w:rFonts w:eastAsia="GoudyStd" w:cs="Times New Roman"/>
          <w:szCs w:val="24"/>
          <w:lang w:val="en-US"/>
        </w:rPr>
        <w:t xml:space="preserve"> “The Demise of the Demarcation Problem,” in R. S. Cohen and L. Laudan (eds) </w:t>
      </w:r>
      <w:r w:rsidRPr="00F12064">
        <w:rPr>
          <w:rFonts w:eastAsia="GoudyStd" w:cs="Times New Roman"/>
          <w:i/>
          <w:iCs/>
          <w:szCs w:val="24"/>
          <w:lang w:val="en-US"/>
        </w:rPr>
        <w:t>Physics, Philosophy, and Psychoanalysis</w:t>
      </w:r>
      <w:r w:rsidRPr="00F12064">
        <w:rPr>
          <w:rFonts w:eastAsia="GoudyStd" w:cs="Times New Roman"/>
          <w:szCs w:val="24"/>
          <w:lang w:val="en-US"/>
        </w:rPr>
        <w:t>, Dordrecht: Reidel</w:t>
      </w:r>
      <w:r w:rsidR="00C263B2" w:rsidRPr="00F12064">
        <w:rPr>
          <w:rFonts w:eastAsia="GoudyStd" w:cs="Times New Roman"/>
          <w:szCs w:val="24"/>
          <w:lang w:val="en-US"/>
        </w:rPr>
        <w:t>.</w:t>
      </w:r>
    </w:p>
    <w:p w:rsidR="00926C1A" w:rsidRPr="003439B0" w:rsidRDefault="00926C1A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>Monton</w:t>
      </w:r>
      <w:r w:rsidR="003439B0">
        <w:rPr>
          <w:rFonts w:cs="Times New Roman"/>
          <w:szCs w:val="24"/>
          <w:lang w:val="en-US"/>
        </w:rPr>
        <w:t xml:space="preserve">, B. 2013. “Pseudoscience,” in M. </w:t>
      </w:r>
      <w:r w:rsidRPr="00F12064">
        <w:rPr>
          <w:rFonts w:cs="Times New Roman"/>
          <w:szCs w:val="24"/>
          <w:lang w:val="en-US"/>
        </w:rPr>
        <w:t xml:space="preserve">Curd </w:t>
      </w:r>
      <w:r w:rsidR="003439B0">
        <w:rPr>
          <w:rFonts w:cs="Times New Roman"/>
          <w:szCs w:val="24"/>
          <w:lang w:val="en-US"/>
        </w:rPr>
        <w:t xml:space="preserve">and S. Psillos (eds), </w:t>
      </w:r>
      <w:r w:rsidR="003439B0">
        <w:rPr>
          <w:rFonts w:cs="Times New Roman"/>
          <w:i/>
          <w:szCs w:val="24"/>
          <w:lang w:val="en-US"/>
        </w:rPr>
        <w:t>The Routledge Companion to Philosophy of Science</w:t>
      </w:r>
      <w:r w:rsidR="003439B0">
        <w:rPr>
          <w:rFonts w:cs="Times New Roman"/>
          <w:szCs w:val="24"/>
          <w:lang w:val="en-US"/>
        </w:rPr>
        <w:t>, Routledge, 2</w:t>
      </w:r>
      <w:r w:rsidR="003439B0" w:rsidRPr="003439B0">
        <w:rPr>
          <w:rFonts w:cs="Times New Roman"/>
          <w:szCs w:val="24"/>
          <w:vertAlign w:val="superscript"/>
          <w:lang w:val="en-US"/>
        </w:rPr>
        <w:t>nd</w:t>
      </w:r>
      <w:r w:rsidR="003439B0">
        <w:rPr>
          <w:rFonts w:cs="Times New Roman"/>
          <w:szCs w:val="24"/>
          <w:lang w:val="en-US"/>
        </w:rPr>
        <w:t xml:space="preserve"> ed.</w:t>
      </w:r>
    </w:p>
    <w:p w:rsidR="00F12064" w:rsidRPr="00F12064" w:rsidRDefault="00F12064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>Pigliucci, M</w:t>
      </w:r>
      <w:r w:rsidR="003439B0">
        <w:rPr>
          <w:rFonts w:cs="Times New Roman"/>
          <w:szCs w:val="24"/>
          <w:lang w:val="en-US"/>
        </w:rPr>
        <w:t xml:space="preserve">. </w:t>
      </w:r>
      <w:r w:rsidRPr="00F12064">
        <w:rPr>
          <w:rFonts w:cs="Times New Roman"/>
          <w:szCs w:val="24"/>
          <w:lang w:val="en-US"/>
        </w:rPr>
        <w:t>and M</w:t>
      </w:r>
      <w:r w:rsidR="003439B0">
        <w:rPr>
          <w:rFonts w:cs="Times New Roman"/>
          <w:szCs w:val="24"/>
          <w:lang w:val="en-US"/>
        </w:rPr>
        <w:t xml:space="preserve">. </w:t>
      </w:r>
      <w:r w:rsidRPr="00F12064">
        <w:rPr>
          <w:rFonts w:cs="Times New Roman"/>
          <w:szCs w:val="24"/>
          <w:lang w:val="en-US"/>
        </w:rPr>
        <w:t xml:space="preserve">Boudry (eds.), 2013. </w:t>
      </w:r>
      <w:r w:rsidRPr="00F12064">
        <w:rPr>
          <w:rFonts w:cs="Times New Roman"/>
          <w:i/>
          <w:iCs/>
          <w:szCs w:val="24"/>
          <w:lang w:val="en-US" w:bidi="he-IL"/>
        </w:rPr>
        <w:t>Philosophy of Pseudoscience. Reconsidering the demarcation problem</w:t>
      </w:r>
      <w:r w:rsidR="003439B0">
        <w:rPr>
          <w:rFonts w:cs="Times New Roman"/>
          <w:iCs/>
          <w:szCs w:val="24"/>
          <w:lang w:val="en-US" w:bidi="he-IL"/>
        </w:rPr>
        <w:t>,</w:t>
      </w:r>
      <w:r w:rsidRPr="00F12064">
        <w:rPr>
          <w:rFonts w:cs="Times New Roman"/>
          <w:i/>
          <w:iCs/>
          <w:szCs w:val="24"/>
          <w:lang w:val="en-US" w:bidi="he-IL"/>
        </w:rPr>
        <w:t xml:space="preserve"> </w:t>
      </w:r>
      <w:r w:rsidRPr="00F12064">
        <w:rPr>
          <w:rFonts w:cs="Times New Roman"/>
          <w:szCs w:val="24"/>
          <w:lang w:val="en-US"/>
        </w:rPr>
        <w:t>Chicago: Chicago University Press.</w:t>
      </w:r>
    </w:p>
    <w:p w:rsidR="00F12064" w:rsidRPr="00F12064" w:rsidRDefault="00F12064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>Popper, K</w:t>
      </w:r>
      <w:r w:rsidR="008E30D0">
        <w:rPr>
          <w:rFonts w:cs="Times New Roman"/>
          <w:szCs w:val="24"/>
          <w:lang w:val="en-US"/>
        </w:rPr>
        <w:t>.</w:t>
      </w:r>
      <w:r w:rsidRPr="00F12064">
        <w:rPr>
          <w:rFonts w:cs="Times New Roman"/>
          <w:szCs w:val="24"/>
          <w:lang w:val="en-US"/>
        </w:rPr>
        <w:t xml:space="preserve">, 1962. </w:t>
      </w:r>
      <w:r w:rsidR="008E30D0">
        <w:rPr>
          <w:rFonts w:cs="Times New Roman"/>
          <w:i/>
          <w:iCs/>
          <w:szCs w:val="24"/>
          <w:lang w:val="en-US" w:bidi="he-IL"/>
        </w:rPr>
        <w:t>Conjectures and refutation:</w:t>
      </w:r>
      <w:r w:rsidRPr="00F12064">
        <w:rPr>
          <w:rFonts w:cs="Times New Roman"/>
          <w:i/>
          <w:iCs/>
          <w:szCs w:val="24"/>
          <w:lang w:val="en-US" w:bidi="he-IL"/>
        </w:rPr>
        <w:t xml:space="preserve"> The growth of scientific knowledge</w:t>
      </w:r>
      <w:r w:rsidRPr="00F12064">
        <w:rPr>
          <w:rFonts w:cs="Times New Roman"/>
          <w:szCs w:val="24"/>
          <w:lang w:val="en-US"/>
        </w:rPr>
        <w:t>, New York: Basic Books.</w:t>
      </w:r>
    </w:p>
    <w:p w:rsidR="00F12064" w:rsidRPr="00F12064" w:rsidRDefault="00F12064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 xml:space="preserve">–––, 1974 “Reply to my critics”, pp. 961–1197 in P.A. Schilpp, </w:t>
      </w:r>
      <w:r w:rsidRPr="00F12064">
        <w:rPr>
          <w:rFonts w:cs="Times New Roman"/>
          <w:i/>
          <w:iCs/>
          <w:szCs w:val="24"/>
          <w:lang w:val="en-US" w:bidi="he-IL"/>
        </w:rPr>
        <w:t>The Philosophy of Karl Popper</w:t>
      </w:r>
      <w:r w:rsidRPr="00F12064">
        <w:rPr>
          <w:rFonts w:cs="Times New Roman"/>
          <w:szCs w:val="24"/>
          <w:lang w:val="en-US"/>
        </w:rPr>
        <w:t>, The Library of Living Philosophers, vol</w:t>
      </w:r>
      <w:r w:rsidR="008E30D0">
        <w:rPr>
          <w:rFonts w:cs="Times New Roman"/>
          <w:szCs w:val="24"/>
          <w:lang w:val="en-US"/>
        </w:rPr>
        <w:t>.</w:t>
      </w:r>
      <w:r w:rsidRPr="00F12064">
        <w:rPr>
          <w:rFonts w:cs="Times New Roman"/>
          <w:szCs w:val="24"/>
          <w:lang w:val="en-US"/>
        </w:rPr>
        <w:t xml:space="preserve"> xiv, book ii. La Salle: Open Court.</w:t>
      </w:r>
    </w:p>
    <w:p w:rsidR="007658AA" w:rsidRPr="00F12064" w:rsidRDefault="00F12064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cs="Times New Roman"/>
          <w:szCs w:val="24"/>
          <w:lang w:val="en-US"/>
        </w:rPr>
        <w:t>Reisch, G</w:t>
      </w:r>
      <w:r w:rsidR="002D7548">
        <w:rPr>
          <w:rFonts w:cs="Times New Roman"/>
          <w:szCs w:val="24"/>
          <w:lang w:val="en-US"/>
        </w:rPr>
        <w:t xml:space="preserve">. </w:t>
      </w:r>
      <w:r w:rsidRPr="00F12064">
        <w:rPr>
          <w:rFonts w:cs="Times New Roman"/>
          <w:szCs w:val="24"/>
          <w:lang w:val="en-US"/>
        </w:rPr>
        <w:t xml:space="preserve">A., 1998. “Pluralism, Logical Empiricism, and the Problem of Pseudoscience”, </w:t>
      </w:r>
      <w:r w:rsidRPr="00F12064">
        <w:rPr>
          <w:rFonts w:cs="Times New Roman"/>
          <w:i/>
          <w:iCs/>
          <w:szCs w:val="24"/>
          <w:lang w:val="en-US" w:bidi="he-IL"/>
        </w:rPr>
        <w:t>Philosophy of Science</w:t>
      </w:r>
      <w:r w:rsidRPr="00F12064">
        <w:rPr>
          <w:rFonts w:cs="Times New Roman"/>
          <w:szCs w:val="24"/>
          <w:lang w:val="en-US"/>
        </w:rPr>
        <w:t>, 65: 333–348.</w:t>
      </w:r>
    </w:p>
    <w:p w:rsidR="00926C1A" w:rsidRPr="00F12064" w:rsidRDefault="00150583" w:rsidP="006A0BE9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  <w:lang w:val="en-US"/>
        </w:rPr>
      </w:pPr>
      <w:r w:rsidRPr="00F12064">
        <w:rPr>
          <w:rFonts w:eastAsia="GoudyStd" w:cs="Times New Roman"/>
          <w:szCs w:val="24"/>
          <w:lang w:val="en-US"/>
        </w:rPr>
        <w:t>Thagard, P</w:t>
      </w:r>
      <w:r w:rsidR="002D7548">
        <w:rPr>
          <w:rFonts w:eastAsia="GoudyStd" w:cs="Times New Roman"/>
          <w:szCs w:val="24"/>
          <w:lang w:val="en-US"/>
        </w:rPr>
        <w:t xml:space="preserve">., </w:t>
      </w:r>
      <w:r w:rsidRPr="00F12064">
        <w:rPr>
          <w:rFonts w:eastAsia="GoudyStd" w:cs="Times New Roman"/>
          <w:szCs w:val="24"/>
          <w:lang w:val="en-US"/>
        </w:rPr>
        <w:t>1978</w:t>
      </w:r>
      <w:r w:rsidR="002D7548">
        <w:rPr>
          <w:rFonts w:eastAsia="GoudyStd" w:cs="Times New Roman"/>
          <w:szCs w:val="24"/>
          <w:lang w:val="en-US"/>
        </w:rPr>
        <w:t>.</w:t>
      </w:r>
      <w:r w:rsidRPr="00F12064">
        <w:rPr>
          <w:rFonts w:eastAsia="GoudyStd" w:cs="Times New Roman"/>
          <w:szCs w:val="24"/>
          <w:lang w:val="en-US"/>
        </w:rPr>
        <w:t xml:space="preserve"> “Why Astrology is a Pseudoscience,” in P. Asquith and I. Hacking (eds) </w:t>
      </w:r>
      <w:r w:rsidRPr="00F12064">
        <w:rPr>
          <w:rFonts w:eastAsia="GoudyStd" w:cs="Times New Roman"/>
          <w:i/>
          <w:iCs/>
          <w:szCs w:val="24"/>
          <w:lang w:val="en-US"/>
        </w:rPr>
        <w:t>Proceedings of the Philosophy of Science Association</w:t>
      </w:r>
      <w:r w:rsidRPr="00F12064">
        <w:rPr>
          <w:rFonts w:eastAsia="GoudyStd" w:cs="Times New Roman"/>
          <w:szCs w:val="24"/>
          <w:lang w:val="en-US"/>
        </w:rPr>
        <w:t>, East Lansing, MI: Philosophy of Science Association, pp. 223–34.</w:t>
      </w:r>
    </w:p>
    <w:sectPr w:rsidR="00926C1A" w:rsidRPr="00F12064" w:rsidSect="000D276F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oudySt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1E"/>
    <w:multiLevelType w:val="hybridMultilevel"/>
    <w:tmpl w:val="18FA9E52"/>
    <w:lvl w:ilvl="0" w:tplc="97504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6C9"/>
    <w:multiLevelType w:val="hybridMultilevel"/>
    <w:tmpl w:val="33EC4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A2C66"/>
    <w:multiLevelType w:val="hybridMultilevel"/>
    <w:tmpl w:val="E5BC0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D3999"/>
    <w:multiLevelType w:val="hybridMultilevel"/>
    <w:tmpl w:val="1236E7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2A"/>
    <w:rsid w:val="000048AE"/>
    <w:rsid w:val="00012A1F"/>
    <w:rsid w:val="00035D92"/>
    <w:rsid w:val="00063EF1"/>
    <w:rsid w:val="00065B18"/>
    <w:rsid w:val="000927E1"/>
    <w:rsid w:val="000A1D0D"/>
    <w:rsid w:val="000B5321"/>
    <w:rsid w:val="000D22C9"/>
    <w:rsid w:val="000D276F"/>
    <w:rsid w:val="000D4865"/>
    <w:rsid w:val="000E7D22"/>
    <w:rsid w:val="00102C1A"/>
    <w:rsid w:val="00123987"/>
    <w:rsid w:val="00150583"/>
    <w:rsid w:val="00162084"/>
    <w:rsid w:val="00196242"/>
    <w:rsid w:val="001A2A4B"/>
    <w:rsid w:val="001B4030"/>
    <w:rsid w:val="001C7BB0"/>
    <w:rsid w:val="001D29BA"/>
    <w:rsid w:val="001D49FA"/>
    <w:rsid w:val="001E08FC"/>
    <w:rsid w:val="001E700C"/>
    <w:rsid w:val="001F7C14"/>
    <w:rsid w:val="00225ED3"/>
    <w:rsid w:val="00231678"/>
    <w:rsid w:val="00232170"/>
    <w:rsid w:val="00245A1A"/>
    <w:rsid w:val="00284F4D"/>
    <w:rsid w:val="0028672A"/>
    <w:rsid w:val="002A1C92"/>
    <w:rsid w:val="002A4AA5"/>
    <w:rsid w:val="002A58C4"/>
    <w:rsid w:val="002A5F02"/>
    <w:rsid w:val="002D6828"/>
    <w:rsid w:val="002D7548"/>
    <w:rsid w:val="002E202F"/>
    <w:rsid w:val="003064BE"/>
    <w:rsid w:val="0031798E"/>
    <w:rsid w:val="00324935"/>
    <w:rsid w:val="003424C8"/>
    <w:rsid w:val="003439B0"/>
    <w:rsid w:val="003448D0"/>
    <w:rsid w:val="00356DD0"/>
    <w:rsid w:val="003767C9"/>
    <w:rsid w:val="00384F39"/>
    <w:rsid w:val="00391BA1"/>
    <w:rsid w:val="003C3D08"/>
    <w:rsid w:val="004055CB"/>
    <w:rsid w:val="00430BB4"/>
    <w:rsid w:val="004669E0"/>
    <w:rsid w:val="00467D39"/>
    <w:rsid w:val="004877EC"/>
    <w:rsid w:val="00497006"/>
    <w:rsid w:val="004E139F"/>
    <w:rsid w:val="004F2E58"/>
    <w:rsid w:val="004F551B"/>
    <w:rsid w:val="005124E5"/>
    <w:rsid w:val="00514F00"/>
    <w:rsid w:val="005359EE"/>
    <w:rsid w:val="00553CDC"/>
    <w:rsid w:val="005750D8"/>
    <w:rsid w:val="0059080F"/>
    <w:rsid w:val="005A3A45"/>
    <w:rsid w:val="005C6B00"/>
    <w:rsid w:val="005D000E"/>
    <w:rsid w:val="005D5549"/>
    <w:rsid w:val="005F4344"/>
    <w:rsid w:val="005F6335"/>
    <w:rsid w:val="00600BE0"/>
    <w:rsid w:val="00623E95"/>
    <w:rsid w:val="00663110"/>
    <w:rsid w:val="00664D41"/>
    <w:rsid w:val="006A0BE9"/>
    <w:rsid w:val="006B512F"/>
    <w:rsid w:val="006B6A2E"/>
    <w:rsid w:val="006E2BBA"/>
    <w:rsid w:val="007013E5"/>
    <w:rsid w:val="007658AA"/>
    <w:rsid w:val="00776813"/>
    <w:rsid w:val="00782359"/>
    <w:rsid w:val="007B25D7"/>
    <w:rsid w:val="007C257D"/>
    <w:rsid w:val="007C6786"/>
    <w:rsid w:val="007C70FA"/>
    <w:rsid w:val="0083648E"/>
    <w:rsid w:val="008449FD"/>
    <w:rsid w:val="00856E96"/>
    <w:rsid w:val="008605ED"/>
    <w:rsid w:val="00863F29"/>
    <w:rsid w:val="00884FDC"/>
    <w:rsid w:val="008A3F8B"/>
    <w:rsid w:val="008B1F68"/>
    <w:rsid w:val="008B63A7"/>
    <w:rsid w:val="008C0093"/>
    <w:rsid w:val="008C0391"/>
    <w:rsid w:val="008E30D0"/>
    <w:rsid w:val="008F1229"/>
    <w:rsid w:val="009000FB"/>
    <w:rsid w:val="00911215"/>
    <w:rsid w:val="00917725"/>
    <w:rsid w:val="00926C1A"/>
    <w:rsid w:val="009304D1"/>
    <w:rsid w:val="00967C3A"/>
    <w:rsid w:val="00981662"/>
    <w:rsid w:val="009A625D"/>
    <w:rsid w:val="009C3644"/>
    <w:rsid w:val="009C7D5E"/>
    <w:rsid w:val="009D4B37"/>
    <w:rsid w:val="009E4B2A"/>
    <w:rsid w:val="009F4097"/>
    <w:rsid w:val="00A45F44"/>
    <w:rsid w:val="00A50403"/>
    <w:rsid w:val="00A538D2"/>
    <w:rsid w:val="00A714EC"/>
    <w:rsid w:val="00A718AD"/>
    <w:rsid w:val="00A8515B"/>
    <w:rsid w:val="00A85B08"/>
    <w:rsid w:val="00A87A34"/>
    <w:rsid w:val="00AE5120"/>
    <w:rsid w:val="00AE5C52"/>
    <w:rsid w:val="00B00680"/>
    <w:rsid w:val="00B16E0B"/>
    <w:rsid w:val="00B274C9"/>
    <w:rsid w:val="00B36181"/>
    <w:rsid w:val="00B50AE2"/>
    <w:rsid w:val="00B52594"/>
    <w:rsid w:val="00B76D35"/>
    <w:rsid w:val="00BA4CD6"/>
    <w:rsid w:val="00BA512F"/>
    <w:rsid w:val="00BC5B00"/>
    <w:rsid w:val="00BC6445"/>
    <w:rsid w:val="00BC6864"/>
    <w:rsid w:val="00BF2E65"/>
    <w:rsid w:val="00C263B2"/>
    <w:rsid w:val="00C45B1C"/>
    <w:rsid w:val="00C554F9"/>
    <w:rsid w:val="00C60285"/>
    <w:rsid w:val="00C642FF"/>
    <w:rsid w:val="00C64DE6"/>
    <w:rsid w:val="00C81D65"/>
    <w:rsid w:val="00CD15D2"/>
    <w:rsid w:val="00CF1603"/>
    <w:rsid w:val="00D20126"/>
    <w:rsid w:val="00D23930"/>
    <w:rsid w:val="00D34B1F"/>
    <w:rsid w:val="00D35ACA"/>
    <w:rsid w:val="00D424A2"/>
    <w:rsid w:val="00D448BE"/>
    <w:rsid w:val="00D65AFD"/>
    <w:rsid w:val="00DC0813"/>
    <w:rsid w:val="00DC1C58"/>
    <w:rsid w:val="00E0493D"/>
    <w:rsid w:val="00E2245B"/>
    <w:rsid w:val="00E34650"/>
    <w:rsid w:val="00E43CE9"/>
    <w:rsid w:val="00E44E72"/>
    <w:rsid w:val="00E55911"/>
    <w:rsid w:val="00E61DE5"/>
    <w:rsid w:val="00E67397"/>
    <w:rsid w:val="00EB54EE"/>
    <w:rsid w:val="00EC5B3A"/>
    <w:rsid w:val="00EE6C16"/>
    <w:rsid w:val="00EE7A47"/>
    <w:rsid w:val="00F12064"/>
    <w:rsid w:val="00F27D91"/>
    <w:rsid w:val="00F50277"/>
    <w:rsid w:val="00F65C33"/>
    <w:rsid w:val="00F73CC8"/>
    <w:rsid w:val="00F80B91"/>
    <w:rsid w:val="00F851D4"/>
    <w:rsid w:val="00F90B83"/>
    <w:rsid w:val="00FC318F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4B"/>
    <w:pPr>
      <w:ind w:left="720"/>
      <w:contextualSpacing/>
    </w:pPr>
  </w:style>
  <w:style w:type="paragraph" w:styleId="a4">
    <w:name w:val="footnote text"/>
    <w:basedOn w:val="a"/>
    <w:link w:val="Char"/>
    <w:semiHidden/>
    <w:rsid w:val="00C64D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Char">
    <w:name w:val="Κείμενο υποσημείωσης Char"/>
    <w:basedOn w:val="a0"/>
    <w:link w:val="a4"/>
    <w:semiHidden/>
    <w:rsid w:val="00C64DE6"/>
    <w:rPr>
      <w:rFonts w:eastAsia="Times New Roman" w:cs="Times New Roman"/>
      <w:szCs w:val="24"/>
      <w:lang w:val="en-US"/>
    </w:rPr>
  </w:style>
  <w:style w:type="paragraph" w:styleId="a5">
    <w:name w:val="Body Text Indent"/>
    <w:basedOn w:val="a"/>
    <w:link w:val="Char0"/>
    <w:semiHidden/>
    <w:rsid w:val="00A50403"/>
    <w:pPr>
      <w:spacing w:after="0" w:line="240" w:lineRule="auto"/>
      <w:ind w:left="720"/>
    </w:pPr>
    <w:rPr>
      <w:rFonts w:eastAsia="Times New Roman" w:cs="Times New Roman"/>
      <w:szCs w:val="20"/>
      <w:lang w:val="en-US"/>
    </w:rPr>
  </w:style>
  <w:style w:type="character" w:customStyle="1" w:styleId="Char0">
    <w:name w:val="Σώμα κείμενου με εσοχή Char"/>
    <w:basedOn w:val="a0"/>
    <w:link w:val="a5"/>
    <w:semiHidden/>
    <w:rsid w:val="00A50403"/>
    <w:rPr>
      <w:rFonts w:eastAsia="Times New Roman" w:cs="Times New Roman"/>
      <w:szCs w:val="20"/>
      <w:lang w:val="en-US"/>
    </w:rPr>
  </w:style>
  <w:style w:type="character" w:styleId="-">
    <w:name w:val="Hyperlink"/>
    <w:basedOn w:val="a0"/>
    <w:uiPriority w:val="99"/>
    <w:unhideWhenUsed/>
    <w:rsid w:val="001E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4B"/>
    <w:pPr>
      <w:ind w:left="720"/>
      <w:contextualSpacing/>
    </w:pPr>
  </w:style>
  <w:style w:type="paragraph" w:styleId="a4">
    <w:name w:val="footnote text"/>
    <w:basedOn w:val="a"/>
    <w:link w:val="Char"/>
    <w:semiHidden/>
    <w:rsid w:val="00C64D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Char">
    <w:name w:val="Κείμενο υποσημείωσης Char"/>
    <w:basedOn w:val="a0"/>
    <w:link w:val="a4"/>
    <w:semiHidden/>
    <w:rsid w:val="00C64DE6"/>
    <w:rPr>
      <w:rFonts w:eastAsia="Times New Roman" w:cs="Times New Roman"/>
      <w:szCs w:val="24"/>
      <w:lang w:val="en-US"/>
    </w:rPr>
  </w:style>
  <w:style w:type="paragraph" w:styleId="a5">
    <w:name w:val="Body Text Indent"/>
    <w:basedOn w:val="a"/>
    <w:link w:val="Char0"/>
    <w:semiHidden/>
    <w:rsid w:val="00A50403"/>
    <w:pPr>
      <w:spacing w:after="0" w:line="240" w:lineRule="auto"/>
      <w:ind w:left="720"/>
    </w:pPr>
    <w:rPr>
      <w:rFonts w:eastAsia="Times New Roman" w:cs="Times New Roman"/>
      <w:szCs w:val="20"/>
      <w:lang w:val="en-US"/>
    </w:rPr>
  </w:style>
  <w:style w:type="character" w:customStyle="1" w:styleId="Char0">
    <w:name w:val="Σώμα κείμενου με εσοχή Char"/>
    <w:basedOn w:val="a0"/>
    <w:link w:val="a5"/>
    <w:semiHidden/>
    <w:rsid w:val="00A50403"/>
    <w:rPr>
      <w:rFonts w:eastAsia="Times New Roman" w:cs="Times New Roman"/>
      <w:szCs w:val="20"/>
      <w:lang w:val="en-US"/>
    </w:rPr>
  </w:style>
  <w:style w:type="character" w:styleId="-">
    <w:name w:val="Hyperlink"/>
    <w:basedOn w:val="a0"/>
    <w:uiPriority w:val="99"/>
    <w:unhideWhenUsed/>
    <w:rsid w:val="001E0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o.stanford.edu/archives/fall2008/entries/pseudo-sci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BC5C-DEA8-46D3-85E3-83CB4989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Θόδωρος</dc:creator>
  <cp:lastModifiedBy>Θόδωρος</cp:lastModifiedBy>
  <cp:revision>3</cp:revision>
  <dcterms:created xsi:type="dcterms:W3CDTF">2015-10-08T08:50:00Z</dcterms:created>
  <dcterms:modified xsi:type="dcterms:W3CDTF">2015-10-08T08:51:00Z</dcterms:modified>
</cp:coreProperties>
</file>